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Prior reporting period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Metric</w:t>
            </w:r>
          </w:p>
        </w:tc>
        <w:tc>
          <w:tcPr>
            <w:tcW w:type="dxa" w:w="4320"/>
          </w:tcPr>
          <w:p>
            <w:r>
              <w:t>USD millions</w:t>
            </w:r>
          </w:p>
        </w:tc>
      </w:tr>
      <w:tr>
        <w:tc>
          <w:tcPr>
            <w:tcW w:type="dxa" w:w="4320"/>
          </w:tcPr>
          <w:p>
            <w:r>
              <w:t>revenue</w:t>
            </w:r>
          </w:p>
        </w:tc>
        <w:tc>
          <w:tcPr>
            <w:tcW w:type="dxa" w:w="4320"/>
          </w:tcPr>
          <w:p>
            <w:r>
              <w:t>0.00</w:t>
            </w:r>
          </w:p>
        </w:tc>
      </w:tr>
      <w:tr>
        <w:tc>
          <w:tcPr>
            <w:tcW w:type="dxa" w:w="4320"/>
          </w:tcPr>
          <w:p>
            <w:r>
              <w:t>costs</w:t>
            </w:r>
          </w:p>
        </w:tc>
        <w:tc>
          <w:tcPr>
            <w:tcW w:type="dxa" w:w="4320"/>
          </w:tcPr>
          <w:p>
            <w:r>
              <w:t>0.00</w:t>
            </w:r>
          </w:p>
        </w:tc>
      </w:tr>
      <w:tr>
        <w:tc>
          <w:tcPr>
            <w:tcW w:type="dxa" w:w="4320"/>
          </w:tcPr>
          <w:p>
            <w:r>
              <w:t>total</w:t>
            </w:r>
          </w:p>
        </w:tc>
        <w:tc>
          <w:tcPr>
            <w:tcW w:type="dxa" w:w="4320"/>
          </w:tcPr>
          <w:p>
            <w:r>
              <w:t>0.00</w:t>
            </w:r>
          </w:p>
        </w:tc>
      </w:tr>
    </w:tbl>
    <w:p>
      <w:r>
        <w:t>Unchanged reference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