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FY2026 Q1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Metric</w:t>
            </w:r>
          </w:p>
        </w:tc>
        <w:tc>
          <w:tcPr>
            <w:tcW w:type="dxa" w:w="4320"/>
          </w:tcPr>
          <w:p>
            <w:r>
              <w:t>USD millions</w:t>
            </w:r>
          </w:p>
        </w:tc>
      </w:tr>
      <w:tr>
        <w:tc>
          <w:tcPr>
            <w:tcW w:type="dxa" w:w="4320"/>
          </w:tcPr>
          <w:p>
            <w:r>
              <w:t>revenue</w:t>
            </w:r>
          </w:p>
        </w:tc>
        <w:tc>
          <w:tcPr>
            <w:tcW w:type="dxa" w:w="4320"/>
          </w:tcPr>
          <w:p>
            <w:r>
              <w:t>125.13</w:t>
            </w:r>
          </w:p>
        </w:tc>
      </w:tr>
      <w:tr>
        <w:tc>
          <w:tcPr>
            <w:tcW w:type="dxa" w:w="4320"/>
          </w:tcPr>
          <w:p>
            <w:r>
              <w:t>costs</w:t>
            </w:r>
          </w:p>
        </w:tc>
        <w:tc>
          <w:tcPr>
            <w:tcW w:type="dxa" w:w="4320"/>
          </w:tcPr>
          <w:p>
            <w:r>
              <w:t>75.12</w:t>
            </w:r>
          </w:p>
        </w:tc>
      </w:tr>
      <w:tr>
        <w:tc>
          <w:tcPr>
            <w:tcW w:type="dxa" w:w="4320"/>
          </w:tcPr>
          <w:p>
            <w:r>
              <w:t>total</w:t>
            </w:r>
          </w:p>
        </w:tc>
        <w:tc>
          <w:tcPr>
            <w:tcW w:type="dxa" w:w="4320"/>
          </w:tcPr>
          <w:p>
            <w:r>
              <w:t>200.25</w:t>
            </w:r>
          </w:p>
        </w:tc>
      </w:tr>
    </w:tbl>
    <w:p>
      <w:r>
        <w:t>Unchanged reference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